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178</w:t>
      </w:r>
    </w:p>
    <w:p>
      <w:r>
        <w:t>Bundesgericht (BGE), 1979-08-27, DE</w:t>
      </w:r>
    </w:p>
    <w:p>
      <w:r>
        <w:rPr>
          <w:b/>
        </w:rPr>
        <w:t xml:space="preserve">Quelle: </w:t>
      </w:r>
      <w:r>
        <w:t>https://mcp.opencaselaw.ch/entscheid/bge_105 II 178</w:t>
      </w:r>
    </w:p>
    <w:p>
      <w:r>
        <w:t>FR: ATF 105 II 178</w:t>
      </w:r>
    </w:p>
    <w:p>
      <w:r>
        <w:t>IT: DTF 105 II 178</w:t>
      </w:r>
    </w:p>
    <w:p>
      <w:pPr>
        <w:pStyle w:val="Heading2"/>
      </w:pPr>
      <w:r>
        <w:t>Regeste</w:t>
      </w:r>
    </w:p>
    <w:p>
      <w:r>
        <w:t>Regeste Notweg (Art. 694 ZGB). Bei der Beurteilung, ob ein bestehender Weg für eine in Aussicht genommene Überbauung genügt, sind polizeiliche Auflagen, von deren Erfüllung die Erteilung der Baubewilligung abhängig gemacht wird, unbeachtlich.</w:t>
      </w:r>
    </w:p>
    <w:p>
      <w:pPr>
        <w:pStyle w:val="Heading2"/>
      </w:pPr>
      <w:r>
        <w:t>Erwägungen</w:t>
      </w:r>
    </w:p>
    <w:p>
      <w:r>
        <w:rPr>
          <w:b/>
        </w:rPr>
        <w:t>E. 3</w:t>
      </w:r>
    </w:p>
    <w:p>
      <w:r>
        <w:t>Ein Grundeigentümer hat gemäss Art. 694 Abs. 1 ZGB Anspruch auf Einräumung eines Notweges, falls er über keinen genügenden Weg von seinem Grundstück zur öffentlichen Strasse verfügt. Im vorliegenden Fall ist streitig, ob die im Eigentum der Berufungsklägerin stehende Wegparzelle Kat. Nr. 831, die das Grundstück Kat. Nr. 830 mit der öffentlichen Strasse, der Neuen Jonastrasse, verbindet, in ihrer heutigen Gestalt eine genügende Zufahrt zu diesem Grundstück darstelle. a) Die Berufungsklägerin wirft der Vorinstanz vor, den Begriff des Notweges zu eng ausgelegt und dadurch Bundesrecht BGE 105 II 178 S. 180 verletzt zu haben. Ein Weg, dessen Breite wie im zu beurteilenden Fall das Kreuzen von Motorfahrzeugen ausschliesse, sei für den Anschluss von rund 30 Wohneinheiten an eine öffentliche Strasse ungenügend. Dazu komme, dass der Verkehr auf der Neuen Jonastrasse als Hauptverbindung zwischen Rapperswil und Jona in unzulässiger Weise blockiert würde, wenn ein Fahrzeug in die private Zufahrt einbiegen wolle, wegen eines entgegenkommenden Fahrzeuges oder eines andern Hindernisses jedoch gezwungen sei, auf der Staatsstrasse anzuhalten. Die rechtwinklige Einmündung der Zufahrt in diese Strasse habe, wenn sie nicht ausgebaut werde, überdies zur Folge, dass die in die Zufahrt einbiegenden Fahrzeuge ihre Geschwindigkeit auf Schrittempo herabsetzen müssten, was ebenfalls zu einer starken Beeinträchtigung des Verkehrs auf der Staatsstrasse führe. Entgegen der Auffassung der Vorinstanz könne unter diesen Umständen nicht angenommen werden, die Verbreiterung der Zufahrt durch Einräumung eines Notwegrechts diene lediglich dazu, die Wegverhältnisse bequemer zu gestalten. Da ohne die angestrebte Wegverbreiterung eine zonengemässe Nutzung des Baugrundstücks nicht möglich sei, könne auch nicht gesagt werden, die bestehende Zufahrt genüge für eine bestimmungsgemässe Nutzung dieses Grundstücks. Zweck des Begehrens um Gewährung des Notwegrechts sei vielmehr eine den Mindestanforderungen entsprechende Erschliessung von Bauland, dank welcher vor allem erhebliche Störungen und Gefährdungen des öffentlichen Verkehrs ausgeschlossen würden. Bei zeitgemässer Auslegung des Begriffs der Wegenot erweise sich für das Gebiet der ganzen Schweiz ein Weg von 5 Metern Breite nebst einem Trottoir von einem Meter und einem Einlenker mit beidseitigen Radien von 6 Metern für die Erschliessung eines Mehrfamilienhausquartiers als Minimum. Nur eine solche Zufahrt könne deshalb, und zwar unabhängig von den öffentlichrechtlichen Vorschriften, als genügend im Sinne von Art. 694 ZGB betrachtet werden. b) Das Bundesgericht hat die Gewährung eines Notwegrechts in seiner bisherigen Praxis von sehr strengen Voraussetzungen abhängig gemacht. Es hat aus der Entstehungsgeschichte des Art. 694 ZGB abgeleitet, dass der nachbarrechtliche Anspruch auf die Gewährung eines Wegrechts nur in einer eigentlichen Notlage geltend gemacht werden könne und BGE 105 II 178 S. 181 da nicht gegeben sei, "wo der unumgänglich notwendige Fuss- oder Fahrweg, der freie Zugang oder die freie Zufahrt zu einem Grundstück und damit die nötige Verbindung mit dem öffentlichen Strassennetz, der Aussenwelt mehr oder weniger vorhanden ist" ( BGE 80 II 317 ). Das Bestehen einer Notlage hat es lediglich für den Fall bejaht, dass die nach den wirtschaftlichen Bedürfnissen eines Grundstücks erforderliche Verbindung mit der öffentlichen Strasse überhaupt fehle oder doch schwer beeinträchtigt sei; für die blosse Verbesserung von nicht ganz vollkommenen Wegverhältnissen könne ein Notweg nicht eingeräumt werden ( BGE 80 II 317 mit Hinweisen). An dieser Anforderung hat das Bundesgericht insbesondere auch festgehalten, als es um die verkehrsmässige Erschliessung von neu zu überbauendem Land ging. So hat es in diesem Zusammenhang ausdrücklich erklärt, bei der Beurteilung, Ob ein bereits vorhandener Weg für eine in Aussicht genommene Überbauung genüge, komme es nicht auf die baupolizeilichen Anforderungen an die (für die Erteilung einer Baubewilligung erforderliche) Zufahrt an ( BGE 85 II 397 ff., insbesondere 400 f.). Diese einschränkende Auslegung des Anspruchs auf Einräumung eines Notwegs hat die Zustimmung der massgebenden Lehre gefunden (LIVER, in der Besprechung des zuletzt zitierten Bundesgerichtsentscheides, ZBJV 96/1960, S. 429/430; LIVER, Das Eigentum, in: Schweizerisches Privatrecht, Bd. V/1, S. 268/269; MEIER-HAYOZ, N. 52, 54 und 59 zu Art. 694 ZGB ; KARIN CARONI-RUDOLF, Der Notweg, Berner Diss. 1969, S. 53 f. und 64 ff.). c) Beurteilt man den vorliegenden Sachverhalt im Lichte der angeführten restriktiven Auslegung des Art. 694 ZGB , ergibt sich, dass die Auffassung der Vorinstanz mit dem Bundesrecht nicht in Widerspruch steht. Im angefochtenen Entscheid wird zutreffend darauf abgestellt, dass das Grundstück der Berufungsklägerin im Hinblick auf die beabsichtigte Nutzung als Bauland über eine technisch ausreichende Wegverbindung zur öffentlichen Strasse verfüge, die ohne Mühe mit Motorfahrzeugen (sowohl mit Personen- als auch mit Lastwagen) befahren werden könne. Dass das Kreuzen nicht möglich ist und das Einbiegen in den Weg von der öffentlichen Strasse her zu Verkehrsbehinderungen führen kann, reicht nicht aus, um von einer schweren Beeinträchtigung der Zufahrt im Sinne der Praxis sprechen zu können. Es sind denn auch BGE 105 II 178 S. 182 vorwiegend öffentliche Interessen, welche die Berufungsklägerin ins Feld führt, um das Ungenügen des Weges darzutun. Indessen ist es nicht Zweck einer privatrechtlichen Einrichtung wie derjenigen des Notwegrechts, für die Wahrung öffentlicher Interessen (Verkehrssicherheit; Verhinderung von Verkehrsstauungen) zu sorgen. Dies ist vielmehr Sache des Baupolizei- und des Strassenrechts. Wenn der Berufungsklägerin die Bewilligung für die beabsichtigte Überbauung verweigert wird, kann sie zur Schaffung einer nach öffentlichrechtlichen Gesichtspunkten hinreichenden Zufahrt nicht auf das Notwegrecht zurückgreifen, sondern sie muss sich, wie im angefochtenen Entscheid zutreffend erwähnt, der anscheinend vorhandenen öffentlichrechtlichen Mittel bedienen. d) Von der bisherigen Rechtsprechung abzuweichen, besteht kein Anlass. Zwar hat die enge Auslegung von Art. 694 ZGB zur Folge, dass der Anspruch auf Einräumung eines Notweges als Mittel zur Erschliessung von Bauland überall dort ausscheidet, wo eine Wegverbindung zur öffentlichen Strasse vorhanden ist, die mit Motorfahrzeugen ohne allzu grosse Schwierigkeiten befahren werden kann. Für die Beibehaltung einer strengen Praxis spricht jedoch zunächst die Überlegung, dass die Rücksichtnahme auf die Interessen des benachbarten Grundeigentümers, der sich die Einräumung des Notweges gefallen lassen muss, eine zurückhaltende Handhabung gebietet. Vor allem aber verdient der Hinweis des Bundesgerichts in BGE 85 II 400 , dass die Anwendung von Art. 694 ZGB in der ganzen Schweiz nach einheitlichen Gesichtspunkten erfolgen sollte, nach wie vor Beachtung. Eine solche einheitliche Rechtsanwendung wäre aber nicht mehr gewährleistet, wenn bei der Beurteilung des Genügens einer Wegverbindung zur öffentlichen Strasse auf baupolizeiliche Gesichtspunkte abgestellt werden wollte. So würden beispielsweise die erforderliche Breite der Zufahrt und die Notwendigkeit der Erstellung eines Trottoirs je nach Landesgegend ganz verschieden beurteilt. Dies widerspräche indessen dem Sinn des Gesetzes.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